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kern w:val="1"/>
          <w:sz w:val="24"/>
        </w:rPr>
        <w:t>　TS-GLCL-202</w:t>
      </w:r>
      <w:r>
        <w:rPr>
          <w:rFonts w:hint="eastAsia" w:ascii="仿宋_GB2312" w:hAnsi="宋体" w:eastAsia="仿宋_GB2312" w:cs="仿宋"/>
          <w:kern w:val="1"/>
          <w:sz w:val="24"/>
          <w:lang w:val="en-US" w:eastAsia="zh-CN"/>
        </w:rPr>
        <w:t>30131-1</w:t>
      </w:r>
      <w:r>
        <w:rPr>
          <w:rFonts w:hint="eastAsia" w:ascii="仿宋_GB2312" w:hAnsi="宋体" w:eastAsia="仿宋_GB2312" w:cs="仿宋"/>
          <w:kern w:val="1"/>
          <w:sz w:val="24"/>
        </w:rPr>
        <w:t xml:space="preserve"> 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声明：招标文件为我公司自愿收取，如经贵司审查后，我公司资格条件不符合本项目投标人资格要求，相关责任由我公司自行承担。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pStyle w:val="2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湖南路桥建设集团有限责任公司G72泉州至南宁高速公路广西桂林至柳州段改扩建№4合同段工程总承包部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TS-GLCL-202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>30131-1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